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0DEF7" w14:textId="77777777" w:rsidR="00BA6103" w:rsidRDefault="00CF0D8E" w:rsidP="008F5DA0">
      <w:pPr>
        <w:rPr>
          <w:b/>
        </w:rPr>
      </w:pPr>
      <w:bookmarkStart w:id="0" w:name="_GoBack"/>
      <w:bookmarkEnd w:id="0"/>
      <w:r w:rsidRPr="00AE3AAA">
        <w:rPr>
          <w:b/>
        </w:rPr>
        <w:t xml:space="preserve">Aanpak overkoepelend </w:t>
      </w:r>
      <w:r w:rsidR="00834E44">
        <w:rPr>
          <w:b/>
        </w:rPr>
        <w:t>evaluatie</w:t>
      </w:r>
      <w:r w:rsidRPr="00AE3AAA">
        <w:rPr>
          <w:b/>
        </w:rPr>
        <w:t xml:space="preserve">onderzoek </w:t>
      </w:r>
      <w:r w:rsidR="00834E44">
        <w:rPr>
          <w:b/>
        </w:rPr>
        <w:t xml:space="preserve">werkwijze </w:t>
      </w:r>
      <w:r w:rsidR="00BA6103">
        <w:rPr>
          <w:b/>
        </w:rPr>
        <w:t>OWP en CoP</w:t>
      </w:r>
    </w:p>
    <w:p w14:paraId="1E668EE3" w14:textId="77777777" w:rsidR="00BA6103" w:rsidRDefault="00CF0D8E" w:rsidP="008F5DA0">
      <w:pPr>
        <w:rPr>
          <w:b/>
        </w:rPr>
      </w:pPr>
      <w:r w:rsidRPr="00AE3AAA">
        <w:rPr>
          <w:b/>
        </w:rPr>
        <w:t>Marc van der Meer</w:t>
      </w:r>
      <w:r w:rsidR="00BA6103">
        <w:rPr>
          <w:b/>
        </w:rPr>
        <w:t xml:space="preserve"> </w:t>
      </w:r>
    </w:p>
    <w:p w14:paraId="5F84562E" w14:textId="77777777" w:rsidR="00CF0D8E" w:rsidRPr="00AE3AAA" w:rsidRDefault="00BA6103" w:rsidP="008F5DA0">
      <w:pPr>
        <w:rPr>
          <w:b/>
        </w:rPr>
      </w:pPr>
      <w:r>
        <w:rPr>
          <w:b/>
        </w:rPr>
        <w:t>Tilburg, 21 juni 2019</w:t>
      </w:r>
    </w:p>
    <w:p w14:paraId="72EB19FE" w14:textId="77777777" w:rsidR="00AE3AAA" w:rsidRDefault="008F5DA0" w:rsidP="00AE3AAA">
      <w:pPr>
        <w:spacing w:after="5" w:line="298" w:lineRule="auto"/>
        <w:ind w:right="12"/>
        <w:jc w:val="both"/>
      </w:pPr>
      <w:r>
        <w:t>In de NRO-onderzoekswerkplaats en de Community of practice over ‘gepersonaliseerd leren met ict’ gaat het om een samenwerkingsverband tussen onderzoek en praktijk, tussen wetenschap en projectleiders en docenten in mbo-scholen.</w:t>
      </w:r>
      <w:r w:rsidR="00AE3AAA" w:rsidRPr="00AE3AAA">
        <w:t xml:space="preserve"> </w:t>
      </w:r>
      <w:r w:rsidR="00AE3AAA">
        <w:t>Het onderzoek richt zich op de werkzame elementen in leerarrangementen (cross</w:t>
      </w:r>
      <w:r w:rsidR="00BA6103">
        <w:t>-</w:t>
      </w:r>
      <w:r w:rsidR="00AE3AAA">
        <w:t xml:space="preserve">case analyse), de ict-competenties van docenten (Monitor Leren en Lesgeven van iXperium CoE), de competenties van leerlingen voor zelfregulatie, autonomie en ict (monitor onder leerlingen). Afgezien van deze inhoudelijke thema’s wordt de bijdrage van de werkplaats aan duurzame kennisontwikkeling en praktijkontwikkeling onderzocht en worden ontwikkeling en werkwijze van de werkplaats tijdens het project geëvalueerd.  De gedachte achter de laatste doelstelling is </w:t>
      </w:r>
      <w:r>
        <w:t xml:space="preserve"> dat het gezien het experimentele karakter van de onderzoekswerkplaats zinvol is om een integrale analyse te maken van hoe de onderzoekswerkplaats en de CoP functioneren en hoe de gerealiseerde resultaten kunnen worden </w:t>
      </w:r>
      <w:r w:rsidR="00BA6103">
        <w:t xml:space="preserve">geëvalueerd </w:t>
      </w:r>
      <w:r>
        <w:t xml:space="preserve">binnen </w:t>
      </w:r>
      <w:r w:rsidR="00BA6103">
        <w:t xml:space="preserve">de bredere discussie </w:t>
      </w:r>
      <w:r>
        <w:t xml:space="preserve">over de vraag naar innovatie binnen het mbo. </w:t>
      </w:r>
    </w:p>
    <w:p w14:paraId="40512C12" w14:textId="77777777" w:rsidR="00AE3AAA" w:rsidRDefault="00AE3AAA" w:rsidP="00AE3AAA">
      <w:pPr>
        <w:spacing w:after="5" w:line="298" w:lineRule="auto"/>
        <w:ind w:right="12"/>
        <w:jc w:val="both"/>
      </w:pPr>
    </w:p>
    <w:p w14:paraId="05147FB1" w14:textId="77777777" w:rsidR="00AE3AAA" w:rsidRPr="00DF22D9" w:rsidRDefault="00AE3AAA" w:rsidP="00AE3AAA">
      <w:pPr>
        <w:ind w:right="10"/>
        <w:rPr>
          <w:b/>
        </w:rPr>
      </w:pPr>
      <w:r w:rsidRPr="00DF22D9">
        <w:rPr>
          <w:b/>
        </w:rPr>
        <w:t xml:space="preserve">In het OWP staan vijf onderzoeksvragen centraal: </w:t>
      </w:r>
    </w:p>
    <w:p w14:paraId="7E7351E9" w14:textId="77777777" w:rsidR="00AE3AAA" w:rsidRDefault="00AE3AAA" w:rsidP="00AE3AAA">
      <w:pPr>
        <w:numPr>
          <w:ilvl w:val="0"/>
          <w:numId w:val="4"/>
        </w:numPr>
        <w:spacing w:after="18" w:line="261" w:lineRule="auto"/>
        <w:ind w:right="10" w:hanging="360"/>
      </w:pPr>
      <w:r>
        <w:t xml:space="preserve">Hoe kan gepersonaliseerd leren met ict vorm krijgen in het mbo? </w:t>
      </w:r>
    </w:p>
    <w:p w14:paraId="291A42B8" w14:textId="77777777" w:rsidR="00AE3AAA" w:rsidRDefault="00AE3AAA" w:rsidP="00AE3AAA">
      <w:pPr>
        <w:numPr>
          <w:ilvl w:val="0"/>
          <w:numId w:val="4"/>
        </w:numPr>
        <w:spacing w:after="18" w:line="261" w:lineRule="auto"/>
        <w:ind w:right="10" w:hanging="360"/>
      </w:pPr>
      <w:r>
        <w:t xml:space="preserve">Wat zijn de consequenties van gepersonaliseerd leren met ict voor de organisatie van het mbo-onderwijs? </w:t>
      </w:r>
    </w:p>
    <w:p w14:paraId="6F7E560C" w14:textId="77777777" w:rsidR="00AE3AAA" w:rsidRDefault="00AE3AAA" w:rsidP="00AE3AAA">
      <w:pPr>
        <w:numPr>
          <w:ilvl w:val="0"/>
          <w:numId w:val="4"/>
        </w:numPr>
        <w:spacing w:after="18" w:line="261" w:lineRule="auto"/>
        <w:ind w:right="10" w:hanging="360"/>
      </w:pPr>
      <w:r>
        <w:t xml:space="preserve">Hoe kunnen docenten de (ict-)competenties en de onderzoekende houding nodig voor gepersonaliseerd leren ontwikkelen en hoe draagt de onderzoekswerkplaats hieraan bij? </w:t>
      </w:r>
    </w:p>
    <w:p w14:paraId="5CB7F5F4" w14:textId="77777777" w:rsidR="00AE3AAA" w:rsidRDefault="00AE3AAA" w:rsidP="00AE3AAA">
      <w:pPr>
        <w:numPr>
          <w:ilvl w:val="0"/>
          <w:numId w:val="4"/>
        </w:numPr>
        <w:spacing w:after="18" w:line="261" w:lineRule="auto"/>
        <w:ind w:right="10" w:hanging="360"/>
      </w:pPr>
      <w:r>
        <w:t xml:space="preserve">Welke (ict-)competenties hebben mbo-leerlingen nodig voor gepersonaliseerd leren met ict en hoe kunnen ze deze ontwikkelen? </w:t>
      </w:r>
    </w:p>
    <w:p w14:paraId="18638B8D" w14:textId="77777777" w:rsidR="00AE3AAA" w:rsidRDefault="00AE3AAA" w:rsidP="00AE3AAA">
      <w:pPr>
        <w:numPr>
          <w:ilvl w:val="0"/>
          <w:numId w:val="4"/>
        </w:numPr>
        <w:spacing w:after="200" w:line="261" w:lineRule="auto"/>
        <w:ind w:right="10" w:hanging="360"/>
      </w:pPr>
      <w:r>
        <w:t xml:space="preserve">Hoe kan duurzame kennisontwikkeling op het gebied van gepersonaliseerd leren met ict voor het mbo worden gerealiseerd? Hoe draagt dat bij aan praktijkontwikkeling in de opleidingen? </w:t>
      </w:r>
    </w:p>
    <w:p w14:paraId="3DED6801" w14:textId="77777777" w:rsidR="00AE3AAA" w:rsidRPr="00DF22D9" w:rsidRDefault="00AE3AAA" w:rsidP="00AE3AAA">
      <w:pPr>
        <w:spacing w:after="75"/>
        <w:ind w:right="10"/>
        <w:rPr>
          <w:b/>
        </w:rPr>
      </w:pPr>
      <w:r w:rsidRPr="00DF22D9">
        <w:rPr>
          <w:b/>
        </w:rPr>
        <w:t xml:space="preserve">De aanpak van de onderzoekswerkplaats kent vijf sporen: </w:t>
      </w:r>
    </w:p>
    <w:p w14:paraId="57BBC8A7" w14:textId="77777777" w:rsidR="00AE3AAA" w:rsidRDefault="00AE3AAA" w:rsidP="00AE3AAA">
      <w:pPr>
        <w:numPr>
          <w:ilvl w:val="0"/>
          <w:numId w:val="5"/>
        </w:numPr>
        <w:spacing w:after="60" w:line="261" w:lineRule="auto"/>
        <w:ind w:right="10" w:hanging="360"/>
      </w:pPr>
      <w:r>
        <w:t xml:space="preserve">Leerarrangementen onderzoekmatig ontwerpen </w:t>
      </w:r>
    </w:p>
    <w:p w14:paraId="5A0D83C9" w14:textId="77777777" w:rsidR="00AE3AAA" w:rsidRDefault="00AE3AAA" w:rsidP="00AE3AAA">
      <w:pPr>
        <w:numPr>
          <w:ilvl w:val="0"/>
          <w:numId w:val="5"/>
        </w:numPr>
        <w:spacing w:after="60" w:line="261" w:lineRule="auto"/>
        <w:ind w:right="10" w:hanging="360"/>
      </w:pPr>
      <w:r>
        <w:t xml:space="preserve">Uitrollen en onderzoeken van leerarrangementen  </w:t>
      </w:r>
    </w:p>
    <w:p w14:paraId="53859D0C" w14:textId="77777777" w:rsidR="00AE3AAA" w:rsidRDefault="00AE3AAA" w:rsidP="00AE3AAA">
      <w:pPr>
        <w:numPr>
          <w:ilvl w:val="0"/>
          <w:numId w:val="5"/>
        </w:numPr>
        <w:spacing w:after="75" w:line="261" w:lineRule="auto"/>
        <w:ind w:right="10" w:hanging="360"/>
      </w:pPr>
      <w:r>
        <w:t xml:space="preserve">Overkoepelend onderzoek naar de onderzoeksvragen </w:t>
      </w:r>
    </w:p>
    <w:p w14:paraId="47E6A5D5" w14:textId="77777777" w:rsidR="00AE3AAA" w:rsidRDefault="00AE3AAA" w:rsidP="00AE3AAA">
      <w:pPr>
        <w:numPr>
          <w:ilvl w:val="0"/>
          <w:numId w:val="5"/>
        </w:numPr>
        <w:spacing w:after="18" w:line="261" w:lineRule="auto"/>
        <w:ind w:right="10" w:hanging="360"/>
      </w:pPr>
      <w:r>
        <w:t xml:space="preserve">Bouwen en evalueren van een landelijke werkplaats onderwijsonderzoek  </w:t>
      </w:r>
    </w:p>
    <w:p w14:paraId="7674B95D" w14:textId="77777777" w:rsidR="00AE3AAA" w:rsidRDefault="00AE3AAA" w:rsidP="00AE3AAA">
      <w:pPr>
        <w:numPr>
          <w:ilvl w:val="0"/>
          <w:numId w:val="5"/>
        </w:numPr>
        <w:spacing w:after="18" w:line="261" w:lineRule="auto"/>
        <w:ind w:right="10" w:hanging="360"/>
      </w:pPr>
      <w:r>
        <w:t xml:space="preserve">Kennisdisseminatie </w:t>
      </w:r>
    </w:p>
    <w:p w14:paraId="76F80E95" w14:textId="77777777" w:rsidR="00834E44" w:rsidRDefault="00834E44" w:rsidP="00AE3AAA">
      <w:pPr>
        <w:ind w:right="10"/>
      </w:pPr>
    </w:p>
    <w:p w14:paraId="25545641" w14:textId="77777777" w:rsidR="00AE3AAA" w:rsidRDefault="00AE3AAA" w:rsidP="00AE3AAA">
      <w:pPr>
        <w:ind w:right="10"/>
      </w:pPr>
      <w:r>
        <w:t xml:space="preserve">In de opzet </w:t>
      </w:r>
      <w:r w:rsidR="00BA6103">
        <w:t xml:space="preserve">van dit paper </w:t>
      </w:r>
      <w:r>
        <w:t xml:space="preserve">gaat het om het vierde spoor van aanpak: hoe kan een </w:t>
      </w:r>
      <w:r w:rsidR="008F5DA0">
        <w:t xml:space="preserve">MBO onderzoekswerkplaats </w:t>
      </w:r>
      <w:r>
        <w:t xml:space="preserve">worden </w:t>
      </w:r>
      <w:r w:rsidR="00BA6103">
        <w:t>ingericht</w:t>
      </w:r>
      <w:r>
        <w:t xml:space="preserve">, en hoe kunnen we de inspanningen die worden verricht beoordelen? </w:t>
      </w:r>
    </w:p>
    <w:p w14:paraId="2F7DB349" w14:textId="77777777" w:rsidR="002846CB" w:rsidRDefault="002846CB" w:rsidP="00AE3AAA">
      <w:pPr>
        <w:ind w:right="10"/>
      </w:pPr>
      <w:r w:rsidRPr="00BA6103">
        <w:rPr>
          <w:i/>
        </w:rPr>
        <w:t>De context van de werkplaats.</w:t>
      </w:r>
      <w:r>
        <w:t xml:space="preserve"> De OWP gericht op gepersonaliseerd leren met ICT is een van de twee nieuwe initiatieven binnen de NRO-agenda voor het mbo, het andere initiatief is een OWP gericht op </w:t>
      </w:r>
      <w:r>
        <w:lastRenderedPageBreak/>
        <w:t xml:space="preserve">burgerschap. De samenstelling van het consortium en de doelstelling van de twee OWP laten zich goed vergelijken, en kunnen worden gepositioneerd in de context van het debat over innovatie in het mbo. Op basis van literatuurstudie worden deze onderzoekswerkplaatsen gecontextualiseerd. Het ligt voor de hand waar mogelijk een vergelijking te maken met andere onderzoekswerkplaatsen, bijvoorbeeld die van Tranzo in de gehandicapten zorg en de academische </w:t>
      </w:r>
      <w:r w:rsidR="00BA6103">
        <w:t>onderwijs</w:t>
      </w:r>
      <w:r>
        <w:t xml:space="preserve">werkplaats van de Universiteit van Maastricht. </w:t>
      </w:r>
    </w:p>
    <w:p w14:paraId="0453CFCA" w14:textId="77777777" w:rsidR="008F5DA0" w:rsidRDefault="002846CB" w:rsidP="00AE3AAA">
      <w:pPr>
        <w:ind w:right="10"/>
      </w:pPr>
      <w:r w:rsidRPr="002846CB">
        <w:rPr>
          <w:i/>
        </w:rPr>
        <w:t>De inhoudelijke samenstelling van het consortium.</w:t>
      </w:r>
      <w:r>
        <w:t xml:space="preserve"> </w:t>
      </w:r>
      <w:r w:rsidR="00AE3AAA">
        <w:t xml:space="preserve">In de OWP en COP </w:t>
      </w:r>
      <w:r w:rsidR="008F5DA0">
        <w:t xml:space="preserve">gepersonaliseerd leren met ict </w:t>
      </w:r>
      <w:r>
        <w:t xml:space="preserve">wordt samengewerkt op landelijk niveau. Er wordt </w:t>
      </w:r>
      <w:r w:rsidR="008F5DA0">
        <w:t xml:space="preserve">gewerkt met een binnenkring (consortiumpartners) en buitenkring (relevante partijen uit het kennisecosysteem). De buitenkring fungeert als community in de rol van klankbordgroep, kennispartner, implementatiepartner en vraaginitiator, en wordt opgezet met verschillende mbo-instellingen in de Community of Practice Leren met ict MBO. Er wordt actief gezocht naar een verhoogde betrokkenheid van lerarenopleidingen (via de Voorlopersgroep Lerarenopleidingen ict en partners uit de beroepspraktijk (S-BB, Commit). </w:t>
      </w:r>
      <w:r>
        <w:t xml:space="preserve">Hoe dit alles in de praktijk zal werken is een empirische kwestie. In het onderzoek wordt een vergelijking gemaakt van de ontwikkelingsgang van de twee initiatieven. </w:t>
      </w:r>
    </w:p>
    <w:p w14:paraId="1E572AD0" w14:textId="77777777" w:rsidR="00AA37E5" w:rsidRDefault="00AA37E5" w:rsidP="00AA37E5">
      <w:pPr>
        <w:ind w:right="10"/>
      </w:pPr>
      <w:r w:rsidRPr="00AA37E5">
        <w:rPr>
          <w:i/>
        </w:rPr>
        <w:t>Verschil in werkwijze.</w:t>
      </w:r>
      <w:r>
        <w:t xml:space="preserve"> De ontwikkeling en werkwijze van de werkplaats wordt tijdens het project geëvalueerd door de kritische momenten van samenwerking tussen de werkplaatspartners tegen het licht te houden. Op basis van systematische documentanalyse, voortgangsbesprekingen en interviews met sleutelpersonen wordt de koers van de aanpak bezien aan de hand van twee ontwikkelingsmodellen, die oorspronkelijk zijn afgeleid van het 4-R-bestuursmodel (richting, ruimte, resultaten, rekenschap) van SCP (2001): een adaptieve aanpak waarbij de </w:t>
      </w:r>
      <w:r w:rsidR="00834E44">
        <w:t xml:space="preserve">definiëring van resultaten </w:t>
      </w:r>
      <w:r>
        <w:t>van de werkplaats consistent en conform plan verloopt, danwel een reflexieve aanpak waarbij deelnemende partijen in het licht van hun taakverdeling en onderlinge afhankelijkheid in de uitvoering van de werkplaats oplossingen moeten vinden voor zich aandienende nieuwe vraagstukken om hun doelstellingen te realiseren (Van der Meer 2017).</w:t>
      </w:r>
      <w:r w:rsidR="00DB055C">
        <w:t xml:space="preserve"> In het onderstaande analyseschema worden de dimensies van Adaptieve sturing (consistentie, conditionering, competentie, consequentie) en </w:t>
      </w:r>
      <w:r w:rsidR="00834E44">
        <w:t xml:space="preserve">van </w:t>
      </w:r>
      <w:r w:rsidR="00DB055C">
        <w:t xml:space="preserve">Reflexieve sturing benoemd (participatierecht, partijversterking, procesbewaking, pleitbeslechting). </w:t>
      </w:r>
      <w:r w:rsidR="00834E44">
        <w:t xml:space="preserve">Beide sturingsvarianten kunnen voorkomen bij de OWP en CoP. </w:t>
      </w:r>
    </w:p>
    <w:p w14:paraId="11122A68" w14:textId="77777777" w:rsidR="008F5DA0" w:rsidRDefault="00AA37E5" w:rsidP="00AA37E5">
      <w:pPr>
        <w:spacing w:after="45"/>
        <w:ind w:right="10"/>
      </w:pPr>
      <w:r w:rsidRPr="00AA37E5">
        <w:rPr>
          <w:i/>
        </w:rPr>
        <w:t>Lokale invulling.</w:t>
      </w:r>
      <w:r>
        <w:t xml:space="preserve"> </w:t>
      </w:r>
      <w:r w:rsidR="008F5DA0">
        <w:t xml:space="preserve">De </w:t>
      </w:r>
      <w:r w:rsidR="00177E37">
        <w:t xml:space="preserve">werkwijze </w:t>
      </w:r>
      <w:r w:rsidR="008F5DA0">
        <w:t>in d</w:t>
      </w:r>
      <w:r w:rsidR="00177E37">
        <w:t>e OWP biedt r</w:t>
      </w:r>
      <w:r w:rsidR="008F5DA0">
        <w:t>uimte voor regionale prioriteitstelling</w:t>
      </w:r>
      <w:r w:rsidR="00DB055C">
        <w:t xml:space="preserve"> en dus reflexieve sturing</w:t>
      </w:r>
      <w:r w:rsidR="008F5DA0">
        <w:t xml:space="preserve">. Dat betekent </w:t>
      </w:r>
      <w:r w:rsidR="00DB055C">
        <w:t xml:space="preserve">bijvoorbeeld </w:t>
      </w:r>
      <w:r w:rsidR="008F5DA0">
        <w:t xml:space="preserve">dat binnen de gezamenlijke werkwijze, vanuit het practoraat Activerende Didactiek meer nadruk gelegd wordt op gepersonaliseerd leren en activerende didactiek, vanuit het practoraat Mediawijsheid op gepersonaliseerd leren en mediawijsheid. De betekenis van mediawijsheid binnen gepersonaliseerd leren heeft vooral betrekking op de diversiteit van kennispraktijken waarmee een leerling wordt geconfronteerd (Nerland &amp; Jensen, 2012). </w:t>
      </w:r>
    </w:p>
    <w:p w14:paraId="00F19E25" w14:textId="77777777" w:rsidR="008F5DA0" w:rsidRDefault="008F5DA0" w:rsidP="008F5DA0">
      <w:pPr>
        <w:spacing w:after="38"/>
        <w:ind w:left="1052"/>
      </w:pPr>
    </w:p>
    <w:p w14:paraId="504C940F" w14:textId="77777777" w:rsidR="00CF0D8E" w:rsidRPr="00DF22D9" w:rsidRDefault="00AA37E5" w:rsidP="00AA37E5">
      <w:pPr>
        <w:rPr>
          <w:b/>
        </w:rPr>
      </w:pPr>
      <w:r w:rsidRPr="00DF22D9">
        <w:rPr>
          <w:b/>
        </w:rPr>
        <w:t>Samengevat</w:t>
      </w:r>
      <w:r w:rsidR="00834E44">
        <w:rPr>
          <w:b/>
        </w:rPr>
        <w:t xml:space="preserve"> zal de </w:t>
      </w:r>
      <w:r w:rsidRPr="00DF22D9">
        <w:rPr>
          <w:b/>
        </w:rPr>
        <w:t>rapportage antwoord bieden op de volgende vragen:</w:t>
      </w:r>
    </w:p>
    <w:p w14:paraId="24D8DA25" w14:textId="77777777" w:rsidR="00CF0D8E" w:rsidRDefault="00CF0D8E" w:rsidP="00CF0D8E">
      <w:pPr>
        <w:pStyle w:val="Lijstalinea"/>
        <w:numPr>
          <w:ilvl w:val="0"/>
          <w:numId w:val="3"/>
        </w:numPr>
      </w:pPr>
      <w:r>
        <w:t xml:space="preserve">Beschrijvingen </w:t>
      </w:r>
    </w:p>
    <w:p w14:paraId="2E358274" w14:textId="77777777" w:rsidR="00CF0D8E" w:rsidRDefault="00CF0D8E" w:rsidP="00CF0D8E">
      <w:pPr>
        <w:pStyle w:val="Lijstalinea"/>
        <w:numPr>
          <w:ilvl w:val="1"/>
          <w:numId w:val="1"/>
        </w:numPr>
      </w:pPr>
      <w:r>
        <w:t>Contextbeschrijving (vernieuwingsstrategie: wat gebeurt er en waarom</w:t>
      </w:r>
      <w:r w:rsidR="00BA6103">
        <w:t>?</w:t>
      </w:r>
      <w:r>
        <w:t>)</w:t>
      </w:r>
    </w:p>
    <w:p w14:paraId="55DA5AC8" w14:textId="77777777" w:rsidR="00CF0D8E" w:rsidRDefault="00CF0D8E" w:rsidP="00CF0D8E">
      <w:pPr>
        <w:pStyle w:val="Lijstalinea"/>
        <w:numPr>
          <w:ilvl w:val="1"/>
          <w:numId w:val="1"/>
        </w:numPr>
      </w:pPr>
      <w:r>
        <w:t>Werkplaats en CoP als object van onderzoek. – vergelijken met andere werkplaatsen.</w:t>
      </w:r>
    </w:p>
    <w:p w14:paraId="34D97ECD" w14:textId="77777777" w:rsidR="00CF0D8E" w:rsidRDefault="00CF0D8E" w:rsidP="00CF0D8E">
      <w:pPr>
        <w:pStyle w:val="Lijstalinea"/>
        <w:numPr>
          <w:ilvl w:val="1"/>
          <w:numId w:val="1"/>
        </w:numPr>
      </w:pPr>
      <w:r>
        <w:t xml:space="preserve">Beschrijving precieze werkwijze/procesvoortgang: vinden er andere doelformuleringen plaats en welke strategie wordt er gehanteerd als de doelen in de knel komen. Hierin zowel adaptieve beslissingen (stuurgroep past doelstellingen aan) als reflexieve beslissingen (scholen hebben zelf de ruimte) en hun effecten beschrijven. Zowel de sturingsstrategieën al de oplossingsstrategieën worden daarin beschreven.  </w:t>
      </w:r>
    </w:p>
    <w:p w14:paraId="16E257A4" w14:textId="77777777" w:rsidR="00CF0D8E" w:rsidRDefault="00CF0D8E" w:rsidP="00CF0D8E">
      <w:pPr>
        <w:pStyle w:val="Lijstalinea"/>
        <w:numPr>
          <w:ilvl w:val="1"/>
          <w:numId w:val="1"/>
        </w:numPr>
      </w:pPr>
      <w:r>
        <w:lastRenderedPageBreak/>
        <w:t>De beschrijvingen resulteren in een zelfevaluatie van de OWP.</w:t>
      </w:r>
    </w:p>
    <w:p w14:paraId="0448E7E7" w14:textId="77777777" w:rsidR="00CF0D8E" w:rsidRDefault="00CF0D8E" w:rsidP="00CF0D8E">
      <w:pPr>
        <w:pStyle w:val="Lijstalinea"/>
        <w:numPr>
          <w:ilvl w:val="0"/>
          <w:numId w:val="1"/>
        </w:numPr>
      </w:pPr>
      <w:r>
        <w:t>Soorten informatie die betrokken worden in de beschrijvingen:  bijstellingen van het plan, kritische beslismomenten, momenten waarop doelstellingen worden herijkt of de koers wordt bijgesteld, de inhoud van herijking en bijstelling en het proces daarvan.</w:t>
      </w:r>
    </w:p>
    <w:p w14:paraId="7BF53AAB" w14:textId="77777777" w:rsidR="00CF0D8E" w:rsidRDefault="00CF0D8E" w:rsidP="00CF0D8E">
      <w:pPr>
        <w:pStyle w:val="Lijstalinea"/>
        <w:numPr>
          <w:ilvl w:val="0"/>
          <w:numId w:val="1"/>
        </w:numPr>
      </w:pPr>
      <w:r>
        <w:t xml:space="preserve">Het beschrijven van het zelfregulerend of zelfcorrigerend vermogen. </w:t>
      </w:r>
    </w:p>
    <w:p w14:paraId="09D8A357" w14:textId="77777777" w:rsidR="00AE3AAA" w:rsidRDefault="00CF0D8E" w:rsidP="00AE3AAA">
      <w:pPr>
        <w:pStyle w:val="Lijstalinea"/>
        <w:numPr>
          <w:ilvl w:val="0"/>
          <w:numId w:val="1"/>
        </w:numPr>
      </w:pPr>
      <w:r>
        <w:t>Professionaliseringsveronderstelling</w:t>
      </w:r>
      <w:r w:rsidR="00BA6103">
        <w:t xml:space="preserve">. Een achterliggende vraag is of de </w:t>
      </w:r>
      <w:r>
        <w:t xml:space="preserve">professionalisering </w:t>
      </w:r>
      <w:r w:rsidR="00BA6103">
        <w:t xml:space="preserve">van de docententeams, die tot stand komt, gezien moet worden als een gegeven </w:t>
      </w:r>
      <w:r>
        <w:t>noodzakelijke, voorwaarde</w:t>
      </w:r>
      <w:r w:rsidR="00BA6103">
        <w:t xml:space="preserve"> voor succes, of als een endogene variabele, waarbij de professionalisering tijdens het ontwikkelingstraject vorm krijgt.</w:t>
      </w:r>
      <w:r>
        <w:t xml:space="preserve"> Hoe gaa</w:t>
      </w:r>
      <w:r w:rsidR="00834E44">
        <w:t>n</w:t>
      </w:r>
      <w:r w:rsidR="00BA6103">
        <w:t xml:space="preserve"> de werkplaats en de Cop </w:t>
      </w:r>
      <w:r w:rsidR="00834E44">
        <w:t xml:space="preserve">met deze professionaliseringsvragen </w:t>
      </w:r>
      <w:r>
        <w:t xml:space="preserve">om? Professionalisering </w:t>
      </w:r>
      <w:r w:rsidR="00BA6103">
        <w:t xml:space="preserve">zal waarschijnlijk gezien kunnen worden </w:t>
      </w:r>
      <w:r w:rsidR="00834E44">
        <w:t xml:space="preserve">zowel </w:t>
      </w:r>
      <w:r w:rsidR="00BA6103">
        <w:t xml:space="preserve">als </w:t>
      </w:r>
      <w:r>
        <w:t xml:space="preserve">een voorwaarde en een opbrengst van </w:t>
      </w:r>
      <w:r w:rsidR="00834E44">
        <w:t>de D</w:t>
      </w:r>
      <w:r>
        <w:t xml:space="preserve">esignteam en van </w:t>
      </w:r>
      <w:r w:rsidR="00834E44">
        <w:t>CoP</w:t>
      </w:r>
      <w:r>
        <w:t xml:space="preserve">. </w:t>
      </w:r>
      <w:r w:rsidR="00834E44">
        <w:t>T</w:t>
      </w:r>
      <w:r w:rsidR="00BA6103">
        <w:t xml:space="preserve">och is de vraag </w:t>
      </w:r>
      <w:r w:rsidR="00834E44">
        <w:t xml:space="preserve">relevant </w:t>
      </w:r>
      <w:r w:rsidR="00BA6103">
        <w:t xml:space="preserve">hoe dit mechanisme werkt en welke resultaten kunnen worden bereikt? En </w:t>
      </w:r>
      <w:r w:rsidR="00834E44">
        <w:t xml:space="preserve">tevens </w:t>
      </w:r>
      <w:r w:rsidR="00BA6103">
        <w:t xml:space="preserve">welke verhouding ontstaat tussen </w:t>
      </w:r>
      <w:r>
        <w:t>docent</w:t>
      </w:r>
      <w:r w:rsidR="00BA6103">
        <w:t>-</w:t>
      </w:r>
      <w:r>
        <w:t>ontwerper</w:t>
      </w:r>
      <w:r w:rsidR="00834E44">
        <w:t>s</w:t>
      </w:r>
      <w:r>
        <w:t xml:space="preserve"> en docent</w:t>
      </w:r>
      <w:r w:rsidR="00BA6103">
        <w:t>-</w:t>
      </w:r>
      <w:r>
        <w:t>onderzoeker</w:t>
      </w:r>
      <w:r w:rsidR="00BA6103">
        <w:t>s</w:t>
      </w:r>
      <w:r>
        <w:t xml:space="preserve">. </w:t>
      </w:r>
      <w:r w:rsidR="00BA6103">
        <w:t>Uiteraard zijn dergelijke p</w:t>
      </w:r>
      <w:r>
        <w:t xml:space="preserve">rofessionaliseringsvragen </w:t>
      </w:r>
      <w:r w:rsidR="00BA6103">
        <w:t xml:space="preserve">ook in de rest van </w:t>
      </w:r>
      <w:r>
        <w:t>het onderzoek</w:t>
      </w:r>
      <w:r w:rsidR="00BA6103">
        <w:t xml:space="preserve"> opgenomen, maar voor het functioneren van de OWP en de CoP kunnen de </w:t>
      </w:r>
      <w:r>
        <w:t>professionalisering van teams</w:t>
      </w:r>
      <w:r w:rsidR="00BA6103">
        <w:t xml:space="preserve"> en de werkwijze van </w:t>
      </w:r>
      <w:r>
        <w:t>teams bij implementatie</w:t>
      </w:r>
      <w:r w:rsidR="00BA6103">
        <w:t xml:space="preserve"> van ICT niet </w:t>
      </w:r>
      <w:r w:rsidR="00834E44">
        <w:t xml:space="preserve">van te voren </w:t>
      </w:r>
      <w:r w:rsidR="00BA6103">
        <w:t>worden verondersteld</w:t>
      </w:r>
      <w:r w:rsidR="00834E44">
        <w:t>, en maken onderdeel uit van de adaptieve en reflexieve sturingsvarianten</w:t>
      </w:r>
      <w:r w:rsidR="00BA6103">
        <w:t xml:space="preserve">. </w:t>
      </w:r>
    </w:p>
    <w:p w14:paraId="56FF05C3" w14:textId="77777777" w:rsidR="00DB055C" w:rsidRPr="00DB055C" w:rsidRDefault="00DB055C" w:rsidP="00DB055C">
      <w:pPr>
        <w:rPr>
          <w:b/>
        </w:rPr>
      </w:pPr>
      <w:r>
        <w:rPr>
          <w:b/>
        </w:rPr>
        <w:t>Analyses</w:t>
      </w:r>
      <w:r w:rsidRPr="00DB055C">
        <w:rPr>
          <w:b/>
        </w:rPr>
        <w:t>chema</w:t>
      </w:r>
      <w:r w:rsidR="00834E44">
        <w:rPr>
          <w:b/>
        </w:rPr>
        <w:t xml:space="preserve"> met onderscheid adaptieve en reflexieve sturing. </w:t>
      </w:r>
    </w:p>
    <w:tbl>
      <w:tblPr>
        <w:tblStyle w:val="Tabelraster"/>
        <w:tblW w:w="0" w:type="auto"/>
        <w:tblLook w:val="04A0" w:firstRow="1" w:lastRow="0" w:firstColumn="1" w:lastColumn="0" w:noHBand="0" w:noVBand="1"/>
      </w:tblPr>
      <w:tblGrid>
        <w:gridCol w:w="2265"/>
        <w:gridCol w:w="2265"/>
        <w:gridCol w:w="2266"/>
        <w:gridCol w:w="2266"/>
      </w:tblGrid>
      <w:tr w:rsidR="00DB055C" w:rsidRPr="00DB055C" w14:paraId="1C2F0672" w14:textId="77777777" w:rsidTr="00DB055C">
        <w:tc>
          <w:tcPr>
            <w:tcW w:w="2265" w:type="dxa"/>
          </w:tcPr>
          <w:p w14:paraId="108CFCC8" w14:textId="77777777" w:rsidR="00DB055C" w:rsidRPr="00DB055C" w:rsidRDefault="00DB055C" w:rsidP="00DB055C">
            <w:pPr>
              <w:rPr>
                <w:b/>
              </w:rPr>
            </w:pPr>
            <w:r w:rsidRPr="00DB055C">
              <w:rPr>
                <w:b/>
              </w:rPr>
              <w:t>Adaptieve benadering</w:t>
            </w:r>
          </w:p>
        </w:tc>
        <w:tc>
          <w:tcPr>
            <w:tcW w:w="2265" w:type="dxa"/>
          </w:tcPr>
          <w:p w14:paraId="0BCA5090" w14:textId="77777777" w:rsidR="00DB055C" w:rsidRPr="00DB055C" w:rsidRDefault="00834E44" w:rsidP="00DB055C">
            <w:pPr>
              <w:rPr>
                <w:b/>
              </w:rPr>
            </w:pPr>
            <w:r>
              <w:rPr>
                <w:b/>
              </w:rPr>
              <w:t xml:space="preserve">= </w:t>
            </w:r>
            <w:r w:rsidR="00DB055C" w:rsidRPr="00DB055C">
              <w:rPr>
                <w:b/>
              </w:rPr>
              <w:t>Sturen op uitkomst</w:t>
            </w:r>
          </w:p>
        </w:tc>
        <w:tc>
          <w:tcPr>
            <w:tcW w:w="2266" w:type="dxa"/>
          </w:tcPr>
          <w:p w14:paraId="6B8157DC" w14:textId="77777777" w:rsidR="00DB055C" w:rsidRPr="00DB055C" w:rsidRDefault="00DB055C" w:rsidP="00DB055C">
            <w:pPr>
              <w:rPr>
                <w:b/>
              </w:rPr>
            </w:pPr>
            <w:r w:rsidRPr="00DB055C">
              <w:rPr>
                <w:b/>
              </w:rPr>
              <w:t>Reflexieve benadering</w:t>
            </w:r>
          </w:p>
        </w:tc>
        <w:tc>
          <w:tcPr>
            <w:tcW w:w="2266" w:type="dxa"/>
          </w:tcPr>
          <w:p w14:paraId="5C1491ED" w14:textId="77777777" w:rsidR="00DB055C" w:rsidRPr="00DB055C" w:rsidRDefault="00DB055C" w:rsidP="003E12D9">
            <w:pPr>
              <w:rPr>
                <w:b/>
              </w:rPr>
            </w:pPr>
            <w:r w:rsidRPr="00DB055C">
              <w:rPr>
                <w:b/>
              </w:rPr>
              <w:t xml:space="preserve">= Sturen op </w:t>
            </w:r>
            <w:r w:rsidR="003E12D9">
              <w:rPr>
                <w:b/>
              </w:rPr>
              <w:t>processen</w:t>
            </w:r>
          </w:p>
        </w:tc>
      </w:tr>
      <w:tr w:rsidR="00DB055C" w14:paraId="6819A6CE" w14:textId="77777777" w:rsidTr="00DB055C">
        <w:tc>
          <w:tcPr>
            <w:tcW w:w="2265" w:type="dxa"/>
          </w:tcPr>
          <w:p w14:paraId="5316F29E" w14:textId="77777777" w:rsidR="00DB055C" w:rsidRDefault="00DB055C" w:rsidP="00DB055C">
            <w:r>
              <w:t>Consistentie</w:t>
            </w:r>
          </w:p>
        </w:tc>
        <w:tc>
          <w:tcPr>
            <w:tcW w:w="2265" w:type="dxa"/>
          </w:tcPr>
          <w:p w14:paraId="326681DF" w14:textId="77777777" w:rsidR="00DB055C" w:rsidRDefault="00DB055C" w:rsidP="00834E44">
            <w:r>
              <w:t xml:space="preserve">= Helderheid van het probleem en </w:t>
            </w:r>
            <w:r w:rsidR="00834E44">
              <w:t xml:space="preserve">het </w:t>
            </w:r>
            <w:r>
              <w:t xml:space="preserve">tijdpad voor </w:t>
            </w:r>
            <w:r w:rsidR="00834E44">
              <w:t xml:space="preserve">het </w:t>
            </w:r>
            <w:r>
              <w:t>vinden van oplossing</w:t>
            </w:r>
            <w:r w:rsidR="00834E44">
              <w:t>en</w:t>
            </w:r>
          </w:p>
        </w:tc>
        <w:tc>
          <w:tcPr>
            <w:tcW w:w="2266" w:type="dxa"/>
          </w:tcPr>
          <w:p w14:paraId="21912620" w14:textId="77777777" w:rsidR="00DB055C" w:rsidRDefault="00DB055C" w:rsidP="00DB055C">
            <w:r>
              <w:t>Participatierecht</w:t>
            </w:r>
          </w:p>
        </w:tc>
        <w:tc>
          <w:tcPr>
            <w:tcW w:w="2266" w:type="dxa"/>
          </w:tcPr>
          <w:p w14:paraId="5870527F" w14:textId="77777777" w:rsidR="00DB055C" w:rsidRDefault="00DB055C" w:rsidP="00DB055C">
            <w:r>
              <w:t>= Welke actoren kunnen een rol spelen in het besluitvormingsproces</w:t>
            </w:r>
          </w:p>
        </w:tc>
      </w:tr>
      <w:tr w:rsidR="00DB055C" w14:paraId="71CA9AC6" w14:textId="77777777" w:rsidTr="00DB055C">
        <w:tc>
          <w:tcPr>
            <w:tcW w:w="2265" w:type="dxa"/>
          </w:tcPr>
          <w:p w14:paraId="3B21106B" w14:textId="77777777" w:rsidR="00DB055C" w:rsidRDefault="00DB055C" w:rsidP="00DB055C">
            <w:r>
              <w:t>Conditionering</w:t>
            </w:r>
          </w:p>
        </w:tc>
        <w:tc>
          <w:tcPr>
            <w:tcW w:w="2265" w:type="dxa"/>
          </w:tcPr>
          <w:p w14:paraId="7E7F9BB4" w14:textId="77777777" w:rsidR="00DB055C" w:rsidRDefault="00DB055C" w:rsidP="00DB055C">
            <w:r>
              <w:t>= De voorwaarden waaronder een uitkomst bereikt moet worden</w:t>
            </w:r>
          </w:p>
        </w:tc>
        <w:tc>
          <w:tcPr>
            <w:tcW w:w="2266" w:type="dxa"/>
          </w:tcPr>
          <w:p w14:paraId="0085497F" w14:textId="77777777" w:rsidR="00DB055C" w:rsidRDefault="00DB055C" w:rsidP="00DB055C">
            <w:r>
              <w:t>Partijversterking</w:t>
            </w:r>
          </w:p>
        </w:tc>
        <w:tc>
          <w:tcPr>
            <w:tcW w:w="2266" w:type="dxa"/>
          </w:tcPr>
          <w:p w14:paraId="14613F6B" w14:textId="77777777" w:rsidR="00DB055C" w:rsidRDefault="00DB055C" w:rsidP="00DB055C">
            <w:r>
              <w:t>= Handelingen die erop gericht zijn om actoren voldoende bronnen te geven om inhoudelijk goed beslagen ten ijs te komen</w:t>
            </w:r>
          </w:p>
        </w:tc>
      </w:tr>
      <w:tr w:rsidR="00DB055C" w14:paraId="687A808D" w14:textId="77777777" w:rsidTr="00DB055C">
        <w:tc>
          <w:tcPr>
            <w:tcW w:w="2265" w:type="dxa"/>
          </w:tcPr>
          <w:p w14:paraId="04A09E66" w14:textId="77777777" w:rsidR="00DB055C" w:rsidRDefault="00DB055C" w:rsidP="00DB055C">
            <w:r>
              <w:t>Competentie</w:t>
            </w:r>
          </w:p>
        </w:tc>
        <w:tc>
          <w:tcPr>
            <w:tcW w:w="2265" w:type="dxa"/>
          </w:tcPr>
          <w:p w14:paraId="20E95FAF" w14:textId="77777777" w:rsidR="00DB055C" w:rsidRDefault="00DB055C" w:rsidP="00DB055C">
            <w:r>
              <w:t>= De geschiktheid van de deelnemende partijen</w:t>
            </w:r>
          </w:p>
        </w:tc>
        <w:tc>
          <w:tcPr>
            <w:tcW w:w="2266" w:type="dxa"/>
          </w:tcPr>
          <w:p w14:paraId="340891FE" w14:textId="77777777" w:rsidR="00DB055C" w:rsidRDefault="00DB055C" w:rsidP="00DB055C">
            <w:r>
              <w:t>Procesbewaking</w:t>
            </w:r>
          </w:p>
        </w:tc>
        <w:tc>
          <w:tcPr>
            <w:tcW w:w="2266" w:type="dxa"/>
          </w:tcPr>
          <w:p w14:paraId="47D599CF" w14:textId="77777777" w:rsidR="00DB055C" w:rsidRDefault="00DB055C" w:rsidP="00DB055C">
            <w:r>
              <w:t>= Het naleven van democratisch opgestelde regels van het besluitvormingsproces</w:t>
            </w:r>
          </w:p>
        </w:tc>
      </w:tr>
      <w:tr w:rsidR="00DB055C" w14:paraId="27753F83" w14:textId="77777777" w:rsidTr="00DB055C">
        <w:tc>
          <w:tcPr>
            <w:tcW w:w="2265" w:type="dxa"/>
          </w:tcPr>
          <w:p w14:paraId="3EA27FB5" w14:textId="77777777" w:rsidR="00DB055C" w:rsidRDefault="00DB055C" w:rsidP="00DB055C">
            <w:r>
              <w:t>Consequentie</w:t>
            </w:r>
          </w:p>
        </w:tc>
        <w:tc>
          <w:tcPr>
            <w:tcW w:w="2265" w:type="dxa"/>
          </w:tcPr>
          <w:p w14:paraId="7B0A1E76" w14:textId="77777777" w:rsidR="00DB055C" w:rsidRDefault="00DB055C" w:rsidP="00DB055C">
            <w:r>
              <w:t>= De gevolgen als doelen al dan niet worden gerealiseerd</w:t>
            </w:r>
          </w:p>
        </w:tc>
        <w:tc>
          <w:tcPr>
            <w:tcW w:w="2266" w:type="dxa"/>
          </w:tcPr>
          <w:p w14:paraId="4E3FA1A8" w14:textId="77777777" w:rsidR="00DB055C" w:rsidRDefault="00DB055C" w:rsidP="00DB055C">
            <w:r>
              <w:t>Pleitbeslechting</w:t>
            </w:r>
          </w:p>
        </w:tc>
        <w:tc>
          <w:tcPr>
            <w:tcW w:w="2266" w:type="dxa"/>
          </w:tcPr>
          <w:p w14:paraId="7A298F8E" w14:textId="77777777" w:rsidR="00DB055C" w:rsidRDefault="00DB055C" w:rsidP="00DB055C">
            <w:r>
              <w:t>= De omgang met en het oplossen van conflicten</w:t>
            </w:r>
          </w:p>
        </w:tc>
      </w:tr>
    </w:tbl>
    <w:p w14:paraId="5812410E" w14:textId="77777777" w:rsidR="00834E44" w:rsidRDefault="00834E44" w:rsidP="00DF22D9">
      <w:pPr>
        <w:rPr>
          <w:b/>
        </w:rPr>
      </w:pPr>
    </w:p>
    <w:p w14:paraId="4F56A654" w14:textId="77777777" w:rsidR="00DF22D9" w:rsidRPr="00DF22D9" w:rsidRDefault="00DF22D9" w:rsidP="00DF22D9">
      <w:pPr>
        <w:rPr>
          <w:b/>
        </w:rPr>
      </w:pPr>
      <w:r w:rsidRPr="00DF22D9">
        <w:rPr>
          <w:b/>
        </w:rPr>
        <w:t xml:space="preserve">Tijdsplanning </w:t>
      </w:r>
    </w:p>
    <w:p w14:paraId="4A37C21A" w14:textId="77777777" w:rsidR="00DF22D9" w:rsidRDefault="00DF22D9" w:rsidP="00DF22D9">
      <w:r>
        <w:t xml:space="preserve">Het is de bedoeling om in het najaar 2019 een eerste versie van de </w:t>
      </w:r>
      <w:r w:rsidR="00834E44">
        <w:t>evaluatie</w:t>
      </w:r>
      <w:r>
        <w:t xml:space="preserve">studie gereed te hebben. In het voorjaar 2020 wordt de definitieve versie afgerond. </w:t>
      </w:r>
    </w:p>
    <w:p w14:paraId="581E3443" w14:textId="77777777" w:rsidR="00834E44" w:rsidRPr="00834E44" w:rsidRDefault="00834E44">
      <w:pPr>
        <w:rPr>
          <w:b/>
        </w:rPr>
      </w:pPr>
      <w:r w:rsidRPr="00834E44">
        <w:rPr>
          <w:b/>
        </w:rPr>
        <w:t>Literatuur</w:t>
      </w:r>
      <w:r w:rsidR="00AE3AAA" w:rsidRPr="00834E44">
        <w:rPr>
          <w:b/>
        </w:rPr>
        <w:t xml:space="preserve"> </w:t>
      </w:r>
    </w:p>
    <w:p w14:paraId="19C7DFDC" w14:textId="77777777" w:rsidR="00CF0D8E" w:rsidRDefault="00AE3AAA">
      <w:r>
        <w:t xml:space="preserve">Meer, M. van der M. (red), Klatter, E., Klink, M. van der, Nieuwenhuis, L., Westerhuis, A. &amp; Schoonhoven, R. van. (2017). </w:t>
      </w:r>
      <w:r w:rsidRPr="00BA6103">
        <w:rPr>
          <w:i/>
        </w:rPr>
        <w:t>Naar een lerend bestel in het mbo</w:t>
      </w:r>
      <w:r>
        <w:t xml:space="preserve">. Den Haag: NRO.  </w:t>
      </w:r>
    </w:p>
    <w:sectPr w:rsidR="00CF0D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E258D" w14:textId="77777777" w:rsidR="00620B92" w:rsidRDefault="00620B92" w:rsidP="00834E44">
      <w:pPr>
        <w:spacing w:after="0" w:line="240" w:lineRule="auto"/>
      </w:pPr>
      <w:r>
        <w:separator/>
      </w:r>
    </w:p>
  </w:endnote>
  <w:endnote w:type="continuationSeparator" w:id="0">
    <w:p w14:paraId="72402177" w14:textId="77777777" w:rsidR="00620B92" w:rsidRDefault="00620B92" w:rsidP="0083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80846"/>
      <w:docPartObj>
        <w:docPartGallery w:val="Page Numbers (Bottom of Page)"/>
        <w:docPartUnique/>
      </w:docPartObj>
    </w:sdtPr>
    <w:sdtEndPr/>
    <w:sdtContent>
      <w:p w14:paraId="3349EDCC" w14:textId="77777777" w:rsidR="00834E44" w:rsidRDefault="00834E44">
        <w:pPr>
          <w:pStyle w:val="Voettekst"/>
          <w:jc w:val="right"/>
        </w:pPr>
        <w:r>
          <w:fldChar w:fldCharType="begin"/>
        </w:r>
        <w:r>
          <w:instrText>PAGE   \* MERGEFORMAT</w:instrText>
        </w:r>
        <w:r>
          <w:fldChar w:fldCharType="separate"/>
        </w:r>
        <w:r w:rsidR="0024681D">
          <w:rPr>
            <w:noProof/>
          </w:rPr>
          <w:t>1</w:t>
        </w:r>
        <w:r>
          <w:fldChar w:fldCharType="end"/>
        </w:r>
      </w:p>
    </w:sdtContent>
  </w:sdt>
  <w:p w14:paraId="36346C00" w14:textId="77777777" w:rsidR="00834E44" w:rsidRDefault="00834E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6470" w14:textId="77777777" w:rsidR="00620B92" w:rsidRDefault="00620B92" w:rsidP="00834E44">
      <w:pPr>
        <w:spacing w:after="0" w:line="240" w:lineRule="auto"/>
      </w:pPr>
      <w:r>
        <w:separator/>
      </w:r>
    </w:p>
  </w:footnote>
  <w:footnote w:type="continuationSeparator" w:id="0">
    <w:p w14:paraId="294316DB" w14:textId="77777777" w:rsidR="00620B92" w:rsidRDefault="00620B92" w:rsidP="0083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2788"/>
    <w:multiLevelType w:val="hybridMultilevel"/>
    <w:tmpl w:val="A0F420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977C41"/>
    <w:multiLevelType w:val="hybridMultilevel"/>
    <w:tmpl w:val="83106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422D8"/>
    <w:multiLevelType w:val="hybridMultilevel"/>
    <w:tmpl w:val="D8608F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02D77E1"/>
    <w:multiLevelType w:val="hybridMultilevel"/>
    <w:tmpl w:val="81CCF352"/>
    <w:lvl w:ilvl="0" w:tplc="3E7464FA">
      <w:start w:val="1"/>
      <w:numFmt w:val="decimal"/>
      <w:lvlText w:val="%1."/>
      <w:lvlJc w:val="left"/>
      <w:pPr>
        <w:ind w:left="141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286C1880">
      <w:start w:val="1"/>
      <w:numFmt w:val="lowerLetter"/>
      <w:lvlText w:val="%2"/>
      <w:lvlJc w:val="left"/>
      <w:pPr>
        <w:ind w:left="13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4D460448">
      <w:start w:val="1"/>
      <w:numFmt w:val="lowerRoman"/>
      <w:lvlText w:val="%3"/>
      <w:lvlJc w:val="left"/>
      <w:pPr>
        <w:ind w:left="20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7918F3BC">
      <w:start w:val="1"/>
      <w:numFmt w:val="decimal"/>
      <w:lvlText w:val="%4"/>
      <w:lvlJc w:val="left"/>
      <w:pPr>
        <w:ind w:left="28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0ABE630C">
      <w:start w:val="1"/>
      <w:numFmt w:val="lowerLetter"/>
      <w:lvlText w:val="%5"/>
      <w:lvlJc w:val="left"/>
      <w:pPr>
        <w:ind w:left="35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377868E4">
      <w:start w:val="1"/>
      <w:numFmt w:val="lowerRoman"/>
      <w:lvlText w:val="%6"/>
      <w:lvlJc w:val="left"/>
      <w:pPr>
        <w:ind w:left="42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5B7AAE8C">
      <w:start w:val="1"/>
      <w:numFmt w:val="decimal"/>
      <w:lvlText w:val="%7"/>
      <w:lvlJc w:val="left"/>
      <w:pPr>
        <w:ind w:left="49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B7BC2FEA">
      <w:start w:val="1"/>
      <w:numFmt w:val="lowerLetter"/>
      <w:lvlText w:val="%8"/>
      <w:lvlJc w:val="left"/>
      <w:pPr>
        <w:ind w:left="56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98B4D9F6">
      <w:start w:val="1"/>
      <w:numFmt w:val="lowerRoman"/>
      <w:lvlText w:val="%9"/>
      <w:lvlJc w:val="left"/>
      <w:pPr>
        <w:ind w:left="64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7DB13C61"/>
    <w:multiLevelType w:val="hybridMultilevel"/>
    <w:tmpl w:val="10CA7814"/>
    <w:lvl w:ilvl="0" w:tplc="F3269AD0">
      <w:start w:val="1"/>
      <w:numFmt w:val="decimal"/>
      <w:lvlText w:val="%1."/>
      <w:lvlJc w:val="left"/>
      <w:pPr>
        <w:ind w:left="141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A212FE38">
      <w:start w:val="1"/>
      <w:numFmt w:val="lowerLetter"/>
      <w:lvlText w:val="%2"/>
      <w:lvlJc w:val="left"/>
      <w:pPr>
        <w:ind w:left="144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19AA520">
      <w:start w:val="1"/>
      <w:numFmt w:val="lowerRoman"/>
      <w:lvlText w:val="%3"/>
      <w:lvlJc w:val="left"/>
      <w:pPr>
        <w:ind w:left="216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41E4244A">
      <w:start w:val="1"/>
      <w:numFmt w:val="decimal"/>
      <w:lvlText w:val="%4"/>
      <w:lvlJc w:val="left"/>
      <w:pPr>
        <w:ind w:left="288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901C24E0">
      <w:start w:val="1"/>
      <w:numFmt w:val="lowerLetter"/>
      <w:lvlText w:val="%5"/>
      <w:lvlJc w:val="left"/>
      <w:pPr>
        <w:ind w:left="360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2F2C279A">
      <w:start w:val="1"/>
      <w:numFmt w:val="lowerRoman"/>
      <w:lvlText w:val="%6"/>
      <w:lvlJc w:val="left"/>
      <w:pPr>
        <w:ind w:left="432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8D1C003C">
      <w:start w:val="1"/>
      <w:numFmt w:val="decimal"/>
      <w:lvlText w:val="%7"/>
      <w:lvlJc w:val="left"/>
      <w:pPr>
        <w:ind w:left="504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36AA8D58">
      <w:start w:val="1"/>
      <w:numFmt w:val="lowerLetter"/>
      <w:lvlText w:val="%8"/>
      <w:lvlJc w:val="left"/>
      <w:pPr>
        <w:ind w:left="576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C9D23B20">
      <w:start w:val="1"/>
      <w:numFmt w:val="lowerRoman"/>
      <w:lvlText w:val="%9"/>
      <w:lvlJc w:val="left"/>
      <w:pPr>
        <w:ind w:left="648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8E"/>
    <w:rsid w:val="00145F83"/>
    <w:rsid w:val="00177E37"/>
    <w:rsid w:val="0024681D"/>
    <w:rsid w:val="002846CB"/>
    <w:rsid w:val="00347DB7"/>
    <w:rsid w:val="003E12D9"/>
    <w:rsid w:val="0053237C"/>
    <w:rsid w:val="00620B92"/>
    <w:rsid w:val="00677AB9"/>
    <w:rsid w:val="00834E44"/>
    <w:rsid w:val="008F5DA0"/>
    <w:rsid w:val="00AA37E5"/>
    <w:rsid w:val="00AE3AAA"/>
    <w:rsid w:val="00BA6103"/>
    <w:rsid w:val="00CF0D8E"/>
    <w:rsid w:val="00DB055C"/>
    <w:rsid w:val="00DF2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7836"/>
  <w15:chartTrackingRefBased/>
  <w15:docId w15:val="{D9BA57DA-7337-4E80-A383-3A507E8F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D8E"/>
    <w:pPr>
      <w:ind w:left="720"/>
      <w:contextualSpacing/>
    </w:pPr>
  </w:style>
  <w:style w:type="table" w:styleId="Tabelraster">
    <w:name w:val="Table Grid"/>
    <w:basedOn w:val="Standaardtabel"/>
    <w:uiPriority w:val="39"/>
    <w:rsid w:val="00DB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34E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E44"/>
  </w:style>
  <w:style w:type="paragraph" w:styleId="Voettekst">
    <w:name w:val="footer"/>
    <w:basedOn w:val="Standaard"/>
    <w:link w:val="VoettekstChar"/>
    <w:uiPriority w:val="99"/>
    <w:unhideWhenUsed/>
    <w:rsid w:val="00834E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52FF29F02E644A8D0838CABD60574" ma:contentTypeVersion="11" ma:contentTypeDescription="Create a new document." ma:contentTypeScope="" ma:versionID="31f11b8da2f23811de3f25e96cd1c01c">
  <xsd:schema xmlns:xsd="http://www.w3.org/2001/XMLSchema" xmlns:xs="http://www.w3.org/2001/XMLSchema" xmlns:p="http://schemas.microsoft.com/office/2006/metadata/properties" xmlns:ns3="5d71d28f-6f91-4a75-8b79-cf028f6562bf" xmlns:ns4="e911f3b7-88bb-4a27-9891-e160b5735354" targetNamespace="http://schemas.microsoft.com/office/2006/metadata/properties" ma:root="true" ma:fieldsID="36f0ee4dd4d0c2417804197cf5d25b72" ns3:_="" ns4:_="">
    <xsd:import namespace="5d71d28f-6f91-4a75-8b79-cf028f6562bf"/>
    <xsd:import namespace="e911f3b7-88bb-4a27-9891-e160b5735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1d28f-6f91-4a75-8b79-cf028f65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1f3b7-88bb-4a27-9891-e160b57353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88E81-5663-43FA-8522-B7C9A8889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1d28f-6f91-4a75-8b79-cf028f6562bf"/>
    <ds:schemaRef ds:uri="e911f3b7-88bb-4a27-9891-e160b5735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DDBD7-6C4B-47A7-AF7E-C64B276157F2}">
  <ds:schemaRefs>
    <ds:schemaRef ds:uri="http://schemas.microsoft.com/sharepoint/v3/contenttype/forms"/>
  </ds:schemaRefs>
</ds:datastoreItem>
</file>

<file path=customXml/itemProps3.xml><?xml version="1.0" encoding="utf-8"?>
<ds:datastoreItem xmlns:ds="http://schemas.openxmlformats.org/officeDocument/2006/customXml" ds:itemID="{76DD19EB-D2C5-4F63-8EE8-4122EE7A4EF5}">
  <ds:schemaRefs>
    <ds:schemaRef ds:uri="http://purl.org/dc/elements/1.1/"/>
    <ds:schemaRef ds:uri="e911f3b7-88bb-4a27-9891-e160b5735354"/>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d71d28f-6f91-4a75-8b79-cf028f6562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7569</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ROC de Leijgraaf</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Schobben</dc:creator>
  <cp:keywords/>
  <dc:description/>
  <cp:lastModifiedBy>John Schobben</cp:lastModifiedBy>
  <cp:revision>2</cp:revision>
  <dcterms:created xsi:type="dcterms:W3CDTF">2019-09-25T07:00:00Z</dcterms:created>
  <dcterms:modified xsi:type="dcterms:W3CDTF">2019-09-25T07:00:00Z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0x010100ADF52FF29F02E644A8D0838CABD60574</vt:lpwstr>
  </property>
</Properties>
</file>